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CC36C4E"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FA28C5">
        <w:rPr>
          <w:b/>
          <w:bCs/>
        </w:rPr>
        <w:t>1429</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6C169F7"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t>31.01.2025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3FE30817"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B85DDA" w:rsidRPr="00B85DDA">
        <w:rPr>
          <w:b/>
          <w:bCs/>
          <w:sz w:val="22"/>
          <w:szCs w:val="22"/>
          <w:u w:val="single"/>
          <w:lang w:val="ru-RU"/>
        </w:rPr>
        <w:t>Оказание услуг по проведению операций, совершаемых с использованием банковских карт в качестве средств оплаты услуг (оказание услуг эквайринга)</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370225F9" w14:textId="77777777" w:rsidR="006A4322" w:rsidRPr="006A4322" w:rsidRDefault="00CC4B9C" w:rsidP="006A4322">
      <w:pPr>
        <w:pStyle w:val="af1"/>
        <w:spacing w:line="276" w:lineRule="auto"/>
        <w:ind w:firstLine="567"/>
        <w:jc w:val="both"/>
        <w:rPr>
          <w:bCs/>
          <w:sz w:val="22"/>
          <w:szCs w:val="22"/>
          <w:lang w:val="ru-RU"/>
        </w:rPr>
      </w:pPr>
      <w:r w:rsidRPr="00CC4B9C">
        <w:rPr>
          <w:b/>
          <w:sz w:val="22"/>
          <w:szCs w:val="22"/>
          <w:lang w:val="ru-RU"/>
        </w:rPr>
        <w:t xml:space="preserve">Место поставки товара, выполнения работ, оказания услуг: </w:t>
      </w:r>
      <w:r w:rsidR="006A4322" w:rsidRPr="006A4322">
        <w:rPr>
          <w:bCs/>
          <w:sz w:val="22"/>
          <w:szCs w:val="22"/>
          <w:lang w:val="ru-RU"/>
        </w:rPr>
        <w:t xml:space="preserve">Адреса установки терминалов: </w:t>
      </w:r>
    </w:p>
    <w:p w14:paraId="68779C91" w14:textId="77777777" w:rsidR="006A4322" w:rsidRPr="006A4322" w:rsidRDefault="006A4322" w:rsidP="006A4322">
      <w:pPr>
        <w:pStyle w:val="af1"/>
        <w:spacing w:line="276" w:lineRule="auto"/>
        <w:ind w:firstLine="567"/>
        <w:jc w:val="both"/>
        <w:rPr>
          <w:bCs/>
          <w:sz w:val="22"/>
          <w:szCs w:val="22"/>
          <w:lang w:val="ru-RU"/>
        </w:rPr>
      </w:pPr>
      <w:r w:rsidRPr="006A4322">
        <w:rPr>
          <w:bCs/>
          <w:sz w:val="22"/>
          <w:szCs w:val="22"/>
          <w:lang w:val="ru-RU"/>
        </w:rPr>
        <w:t xml:space="preserve">Республика Марий Эл, </w:t>
      </w:r>
      <w:proofErr w:type="spellStart"/>
      <w:r w:rsidRPr="006A4322">
        <w:rPr>
          <w:bCs/>
          <w:sz w:val="22"/>
          <w:szCs w:val="22"/>
          <w:lang w:val="ru-RU"/>
        </w:rPr>
        <w:t>г.Йошкар</w:t>
      </w:r>
      <w:proofErr w:type="spellEnd"/>
      <w:r w:rsidRPr="006A4322">
        <w:rPr>
          <w:bCs/>
          <w:sz w:val="22"/>
          <w:szCs w:val="22"/>
          <w:lang w:val="ru-RU"/>
        </w:rPr>
        <w:t xml:space="preserve">-Ола, </w:t>
      </w:r>
      <w:proofErr w:type="spellStart"/>
      <w:r w:rsidRPr="006A4322">
        <w:rPr>
          <w:bCs/>
          <w:sz w:val="22"/>
          <w:szCs w:val="22"/>
          <w:lang w:val="ru-RU"/>
        </w:rPr>
        <w:t>ул.Дружбы</w:t>
      </w:r>
      <w:proofErr w:type="spellEnd"/>
      <w:r w:rsidRPr="006A4322">
        <w:rPr>
          <w:bCs/>
          <w:sz w:val="22"/>
          <w:szCs w:val="22"/>
          <w:lang w:val="ru-RU"/>
        </w:rPr>
        <w:t>, дом 2, каб.215 (бухгалтерия)</w:t>
      </w:r>
    </w:p>
    <w:p w14:paraId="4FBE6215" w14:textId="77777777" w:rsidR="006A4322" w:rsidRPr="006A4322" w:rsidRDefault="006A4322" w:rsidP="006A4322">
      <w:pPr>
        <w:pStyle w:val="af1"/>
        <w:spacing w:line="276" w:lineRule="auto"/>
        <w:ind w:firstLine="567"/>
        <w:jc w:val="both"/>
        <w:rPr>
          <w:bCs/>
          <w:sz w:val="22"/>
          <w:szCs w:val="22"/>
          <w:lang w:val="ru-RU"/>
        </w:rPr>
      </w:pPr>
      <w:r w:rsidRPr="006A4322">
        <w:rPr>
          <w:bCs/>
          <w:sz w:val="22"/>
          <w:szCs w:val="22"/>
          <w:lang w:val="ru-RU"/>
        </w:rPr>
        <w:t xml:space="preserve">Республика Марий Эл, </w:t>
      </w:r>
      <w:proofErr w:type="spellStart"/>
      <w:r w:rsidRPr="006A4322">
        <w:rPr>
          <w:bCs/>
          <w:sz w:val="22"/>
          <w:szCs w:val="22"/>
          <w:lang w:val="ru-RU"/>
        </w:rPr>
        <w:t>г.Йошкар</w:t>
      </w:r>
      <w:proofErr w:type="spellEnd"/>
      <w:r w:rsidRPr="006A4322">
        <w:rPr>
          <w:bCs/>
          <w:sz w:val="22"/>
          <w:szCs w:val="22"/>
          <w:lang w:val="ru-RU"/>
        </w:rPr>
        <w:t xml:space="preserve">-Ола, </w:t>
      </w:r>
      <w:proofErr w:type="spellStart"/>
      <w:r w:rsidRPr="006A4322">
        <w:rPr>
          <w:bCs/>
          <w:sz w:val="22"/>
          <w:szCs w:val="22"/>
          <w:lang w:val="ru-RU"/>
        </w:rPr>
        <w:t>ул.Дружбы</w:t>
      </w:r>
      <w:proofErr w:type="spellEnd"/>
      <w:r w:rsidRPr="006A4322">
        <w:rPr>
          <w:bCs/>
          <w:sz w:val="22"/>
          <w:szCs w:val="22"/>
          <w:lang w:val="ru-RU"/>
        </w:rPr>
        <w:t>, дом 2 (столовая)</w:t>
      </w:r>
    </w:p>
    <w:p w14:paraId="55C59FB0" w14:textId="77777777" w:rsidR="006A4322" w:rsidRPr="006A4322" w:rsidRDefault="006A4322" w:rsidP="006A4322">
      <w:pPr>
        <w:pStyle w:val="af1"/>
        <w:spacing w:line="276" w:lineRule="auto"/>
        <w:ind w:firstLine="567"/>
        <w:jc w:val="both"/>
        <w:rPr>
          <w:bCs/>
          <w:sz w:val="22"/>
          <w:szCs w:val="22"/>
          <w:lang w:val="ru-RU"/>
        </w:rPr>
      </w:pPr>
      <w:r w:rsidRPr="006A4322">
        <w:rPr>
          <w:bCs/>
          <w:sz w:val="22"/>
          <w:szCs w:val="22"/>
          <w:lang w:val="ru-RU"/>
        </w:rPr>
        <w:t xml:space="preserve">Республика Марий Эл, </w:t>
      </w:r>
      <w:proofErr w:type="spellStart"/>
      <w:r w:rsidRPr="006A4322">
        <w:rPr>
          <w:bCs/>
          <w:sz w:val="22"/>
          <w:szCs w:val="22"/>
          <w:lang w:val="ru-RU"/>
        </w:rPr>
        <w:t>г.Йошкар</w:t>
      </w:r>
      <w:proofErr w:type="spellEnd"/>
      <w:r w:rsidRPr="006A4322">
        <w:rPr>
          <w:bCs/>
          <w:sz w:val="22"/>
          <w:szCs w:val="22"/>
          <w:lang w:val="ru-RU"/>
        </w:rPr>
        <w:t xml:space="preserve">-Ола, </w:t>
      </w:r>
      <w:proofErr w:type="spellStart"/>
      <w:r w:rsidRPr="006A4322">
        <w:rPr>
          <w:bCs/>
          <w:sz w:val="22"/>
          <w:szCs w:val="22"/>
          <w:lang w:val="ru-RU"/>
        </w:rPr>
        <w:t>ул.Якова</w:t>
      </w:r>
      <w:proofErr w:type="spellEnd"/>
      <w:r w:rsidRPr="006A4322">
        <w:rPr>
          <w:bCs/>
          <w:sz w:val="22"/>
          <w:szCs w:val="22"/>
          <w:lang w:val="ru-RU"/>
        </w:rPr>
        <w:t xml:space="preserve"> Эшпая, дом 113 (абонентский отдел)</w:t>
      </w:r>
    </w:p>
    <w:p w14:paraId="72F5BA29" w14:textId="198BF789" w:rsidR="00F375D2" w:rsidRDefault="006A4322" w:rsidP="006A4322">
      <w:pPr>
        <w:pStyle w:val="af1"/>
        <w:spacing w:line="276" w:lineRule="auto"/>
        <w:ind w:firstLine="567"/>
        <w:jc w:val="both"/>
        <w:rPr>
          <w:b/>
          <w:sz w:val="22"/>
          <w:szCs w:val="22"/>
          <w:lang w:val="ru-RU"/>
        </w:rPr>
      </w:pPr>
      <w:r w:rsidRPr="006A4322">
        <w:rPr>
          <w:bCs/>
          <w:sz w:val="22"/>
          <w:szCs w:val="22"/>
          <w:lang w:val="ru-RU"/>
        </w:rPr>
        <w:t xml:space="preserve">Республика Марий Эл, </w:t>
      </w:r>
      <w:proofErr w:type="spellStart"/>
      <w:r w:rsidRPr="006A4322">
        <w:rPr>
          <w:bCs/>
          <w:sz w:val="22"/>
          <w:szCs w:val="22"/>
          <w:lang w:val="ru-RU"/>
        </w:rPr>
        <w:t>г.Йошкар</w:t>
      </w:r>
      <w:proofErr w:type="spellEnd"/>
      <w:r w:rsidRPr="006A4322">
        <w:rPr>
          <w:bCs/>
          <w:sz w:val="22"/>
          <w:szCs w:val="22"/>
          <w:lang w:val="ru-RU"/>
        </w:rPr>
        <w:t>-Ола, Ленинский проспект, дом 13 а (общественный туалет)</w:t>
      </w:r>
    </w:p>
    <w:p w14:paraId="62812B77" w14:textId="409013C2"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6A4322" w:rsidRPr="006A4322">
        <w:rPr>
          <w:bCs/>
          <w:sz w:val="22"/>
          <w:szCs w:val="22"/>
          <w:lang w:val="ru-RU"/>
        </w:rPr>
        <w:t>с даты заключения Договора по 31.12.2026 года/</w:t>
      </w:r>
    </w:p>
    <w:p w14:paraId="0CA3E6E7" w14:textId="5D0241D4"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6A4322" w:rsidRPr="006A4322">
        <w:rPr>
          <w:sz w:val="22"/>
          <w:szCs w:val="22"/>
          <w:lang w:val="ru-RU"/>
        </w:rPr>
        <w:t>Срок перечисления денежных средств на расчетный счет Заказчика - не более 2 (двух) рабочих дней с момента получения Исполнителем документов по операциям с использованием банковских карт. Обязательство Исполнителя по перечислению денежных средств в адрес Заказчика считается исполненным в момент зачисления денежных средств на расчетный счет Заказчика.</w:t>
      </w:r>
    </w:p>
    <w:p w14:paraId="06DDE132" w14:textId="79E82B10"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6A4322" w:rsidRPr="006A4322">
        <w:rPr>
          <w:bCs/>
          <w:sz w:val="22"/>
          <w:szCs w:val="22"/>
          <w:lang w:val="ru-RU"/>
        </w:rPr>
        <w:t>499 000 (Четыреста девяносто девять тысяч) рублей 00 коп.</w:t>
      </w:r>
    </w:p>
    <w:p w14:paraId="27186175" w14:textId="77777777" w:rsidR="006A4322" w:rsidRPr="006A4322" w:rsidRDefault="006175A4" w:rsidP="006A4322">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6A4322" w:rsidRPr="006A4322">
        <w:rPr>
          <w:bCs/>
          <w:sz w:val="22"/>
          <w:szCs w:val="22"/>
          <w:lang w:bidi="ru-RU"/>
        </w:rPr>
        <w:t>Исполнитель перечисляет суммы операций, совершенных с использованием карт, без вычета комиссии за услуги эквайринга.</w:t>
      </w:r>
    </w:p>
    <w:p w14:paraId="7A700570" w14:textId="6D5F8A36" w:rsidR="002C3864" w:rsidRDefault="006A4322" w:rsidP="006A4322">
      <w:pPr>
        <w:widowControl w:val="0"/>
        <w:shd w:val="clear" w:color="auto" w:fill="FFFFFF"/>
        <w:autoSpaceDE w:val="0"/>
        <w:autoSpaceDN w:val="0"/>
        <w:adjustRightInd w:val="0"/>
        <w:spacing w:line="276" w:lineRule="auto"/>
        <w:ind w:right="5" w:firstLine="567"/>
        <w:jc w:val="both"/>
        <w:rPr>
          <w:sz w:val="22"/>
          <w:szCs w:val="22"/>
        </w:rPr>
      </w:pPr>
      <w:r w:rsidRPr="006A4322">
        <w:rPr>
          <w:bCs/>
          <w:sz w:val="22"/>
          <w:szCs w:val="22"/>
          <w:lang w:bidi="ru-RU"/>
        </w:rPr>
        <w:t xml:space="preserve">За осуществление расчетов по оказанию услуги сбора, обработки и рассылки участникам расчетов информации по операциям оплаты, размер </w:t>
      </w:r>
      <w:proofErr w:type="gramStart"/>
      <w:r w:rsidRPr="006A4322">
        <w:rPr>
          <w:bCs/>
          <w:sz w:val="22"/>
          <w:szCs w:val="22"/>
          <w:lang w:bidi="ru-RU"/>
        </w:rPr>
        <w:t>платы  должен</w:t>
      </w:r>
      <w:proofErr w:type="gramEnd"/>
      <w:r w:rsidRPr="006A4322">
        <w:rPr>
          <w:bCs/>
          <w:sz w:val="22"/>
          <w:szCs w:val="22"/>
          <w:lang w:bidi="ru-RU"/>
        </w:rPr>
        <w:t xml:space="preserve"> составлять не более 1,6% процента от суммы каждой операции. Оплата услуг Исполнителя производится Заказчиком ежемесячно, путем безналичного перечисления денежных средств, в течение 7 (семи) рабочих дней после подписания акта об оказании услуг и выставленного счета.</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7B94F04F"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6A4322" w:rsidRPr="006A4322">
        <w:rPr>
          <w:sz w:val="22"/>
          <w:szCs w:val="22"/>
          <w:lang w:val="ru-RU"/>
        </w:rPr>
        <w:t>23</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3128CC14"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6A4322" w:rsidRPr="006A4322">
        <w:rPr>
          <w:sz w:val="22"/>
          <w:szCs w:val="22"/>
          <w:lang w:val="ru-RU"/>
        </w:rPr>
        <w:t>23)</w:t>
      </w:r>
      <w:r w:rsidR="006A4322" w:rsidRPr="006A4322">
        <w:rPr>
          <w:sz w:val="22"/>
          <w:szCs w:val="22"/>
          <w:lang w:val="ru-RU"/>
        </w:rPr>
        <w:tab/>
        <w:t>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F375D2">
        <w:rPr>
          <w:bCs/>
          <w:sz w:val="22"/>
          <w:szCs w:val="22"/>
          <w:lang w:val="ru-RU"/>
        </w:rPr>
        <w:t>о</w:t>
      </w:r>
      <w:r w:rsidR="00F375D2" w:rsidRPr="00F375D2">
        <w:rPr>
          <w:bCs/>
          <w:sz w:val="22"/>
          <w:szCs w:val="22"/>
          <w:lang w:val="ru-RU"/>
        </w:rPr>
        <w:t xml:space="preserve">казание </w:t>
      </w:r>
      <w:r w:rsidR="006A4322" w:rsidRPr="006A4322">
        <w:rPr>
          <w:bCs/>
          <w:sz w:val="22"/>
          <w:szCs w:val="22"/>
          <w:lang w:val="ru-RU"/>
        </w:rPr>
        <w:t>услуг по проведению операций, совершаемых с использованием банковских карт в качестве средств оплаты услуг (оказание услуг эквайринга)</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77A1F0DA" w14:textId="01182166" w:rsidR="006D7B6C" w:rsidRDefault="006A4322" w:rsidP="006A4322">
      <w:pPr>
        <w:spacing w:line="276" w:lineRule="auto"/>
        <w:ind w:left="426" w:right="-77"/>
        <w:jc w:val="center"/>
        <w:rPr>
          <w:b/>
          <w:bCs/>
          <w:sz w:val="22"/>
          <w:szCs w:val="22"/>
        </w:rPr>
      </w:pPr>
      <w:r w:rsidRPr="006A4322">
        <w:rPr>
          <w:b/>
          <w:bCs/>
          <w:sz w:val="22"/>
          <w:szCs w:val="22"/>
        </w:rPr>
        <w:t>ПУБЛИЧНОЕ АКЦИОНЕРНОЕ ОБЩЕСТВО "СБЕРБАНК РОССИИ"</w:t>
      </w:r>
      <w:r w:rsidR="00F375D2" w:rsidRPr="00F375D2">
        <w:rPr>
          <w:b/>
          <w:bCs/>
          <w:sz w:val="22"/>
          <w:szCs w:val="22"/>
        </w:rPr>
        <w:cr/>
      </w:r>
    </w:p>
    <w:p w14:paraId="1AA1E1FE" w14:textId="7875E7AD"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6A4322" w:rsidRPr="006A4322">
        <w:rPr>
          <w:b/>
          <w:bCs/>
          <w:sz w:val="22"/>
          <w:szCs w:val="22"/>
        </w:rPr>
        <w:t>7707083893</w:t>
      </w:r>
      <w:r w:rsidR="001D3991">
        <w:rPr>
          <w:b/>
          <w:bCs/>
          <w:sz w:val="22"/>
          <w:szCs w:val="22"/>
        </w:rPr>
        <w:t>/</w:t>
      </w:r>
      <w:r w:rsidR="006A4322" w:rsidRPr="006A4322">
        <w:rPr>
          <w:b/>
          <w:bCs/>
          <w:sz w:val="22"/>
          <w:szCs w:val="22"/>
        </w:rPr>
        <w:t>773601001</w:t>
      </w:r>
    </w:p>
    <w:p w14:paraId="4F679E6C" w14:textId="73972AB8" w:rsidR="00423DB7" w:rsidRPr="00423DB7" w:rsidRDefault="001D3991" w:rsidP="006A4322">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6A4322" w:rsidRPr="006A4322">
        <w:rPr>
          <w:bCs/>
          <w:iCs/>
          <w:sz w:val="22"/>
          <w:szCs w:val="22"/>
        </w:rPr>
        <w:t>117312, Г.МОСКВА, УЛ. ВАВИЛОВА,</w:t>
      </w:r>
      <w:r w:rsidR="006A4322" w:rsidRPr="00FA28C5">
        <w:rPr>
          <w:bCs/>
          <w:iCs/>
          <w:sz w:val="22"/>
          <w:szCs w:val="22"/>
        </w:rPr>
        <w:t xml:space="preserve"> </w:t>
      </w:r>
      <w:r w:rsidR="006A4322" w:rsidRPr="006A4322">
        <w:rPr>
          <w:bCs/>
          <w:iCs/>
          <w:sz w:val="22"/>
          <w:szCs w:val="22"/>
        </w:rPr>
        <w:t>Д.19</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0A1D3" w14:textId="77777777" w:rsidR="004F272B" w:rsidRDefault="004F272B">
      <w:r>
        <w:separator/>
      </w:r>
    </w:p>
  </w:endnote>
  <w:endnote w:type="continuationSeparator" w:id="0">
    <w:p w14:paraId="2410AA0F" w14:textId="77777777" w:rsidR="004F272B" w:rsidRDefault="004F2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51413" w14:textId="77777777" w:rsidR="004F272B" w:rsidRDefault="004F272B">
      <w:r>
        <w:separator/>
      </w:r>
    </w:p>
  </w:footnote>
  <w:footnote w:type="continuationSeparator" w:id="0">
    <w:p w14:paraId="34822733" w14:textId="77777777" w:rsidR="004F272B" w:rsidRDefault="004F2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2025-01-30T10:56:00Z</dcterms:created>
  <dcterms:modified xsi:type="dcterms:W3CDTF">2025-01-30T10:56:00Z</dcterms:modified>
</cp:coreProperties>
</file>